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DC49" w14:textId="30F8644E" w:rsidR="00CE2F14" w:rsidRDefault="00CE2F14" w:rsidP="007E111C">
      <w:pPr>
        <w:jc w:val="center"/>
        <w:rPr>
          <w:b/>
          <w:bCs/>
        </w:rPr>
      </w:pPr>
      <w:r w:rsidRPr="2D7C7445">
        <w:rPr>
          <w:b/>
          <w:bCs/>
        </w:rPr>
        <w:t xml:space="preserve">Procedure for Managing Honour Based </w:t>
      </w:r>
      <w:r w:rsidR="00C90529" w:rsidRPr="2D7C7445">
        <w:rPr>
          <w:b/>
          <w:bCs/>
        </w:rPr>
        <w:t>Abuse</w:t>
      </w:r>
      <w:r w:rsidR="008D079C" w:rsidRPr="2D7C7445">
        <w:rPr>
          <w:b/>
          <w:bCs/>
        </w:rPr>
        <w:t xml:space="preserve"> Referrals with Essex</w:t>
      </w:r>
      <w:r w:rsidRPr="2D7C7445">
        <w:rPr>
          <w:b/>
          <w:bCs/>
        </w:rPr>
        <w:t xml:space="preserve"> MARAT</w:t>
      </w:r>
    </w:p>
    <w:p w14:paraId="72B0ABCA" w14:textId="13995AF5" w:rsidR="000B274B" w:rsidRDefault="000B274B" w:rsidP="2D7C7445">
      <w:pPr>
        <w:rPr>
          <w:rFonts w:eastAsiaTheme="minorEastAsia"/>
          <w:b/>
          <w:bCs/>
        </w:rPr>
      </w:pPr>
      <w:r w:rsidRPr="2D7C7445">
        <w:rPr>
          <w:rFonts w:eastAsiaTheme="minorEastAsia"/>
          <w:b/>
          <w:bCs/>
        </w:rPr>
        <w:t xml:space="preserve">Honour-based violence </w:t>
      </w:r>
    </w:p>
    <w:p w14:paraId="2D00693E" w14:textId="77777777" w:rsidR="00C90529" w:rsidRPr="00C90529" w:rsidRDefault="00C90529" w:rsidP="2D7C7445">
      <w:pPr>
        <w:shd w:val="clear" w:color="auto" w:fill="FFFFFF" w:themeFill="background1"/>
        <w:spacing w:before="240" w:after="240" w:line="360" w:lineRule="atLeast"/>
        <w:rPr>
          <w:rFonts w:eastAsiaTheme="minorEastAsia"/>
          <w:color w:val="444444"/>
          <w:lang w:eastAsia="en-GB"/>
        </w:rPr>
      </w:pPr>
      <w:r w:rsidRPr="2D7C7445">
        <w:rPr>
          <w:rFonts w:eastAsiaTheme="minorEastAsia"/>
          <w:color w:val="444444"/>
          <w:lang w:eastAsia="en-GB"/>
        </w:rPr>
        <w:t>The </w:t>
      </w:r>
      <w:r w:rsidRPr="2D7C7445">
        <w:rPr>
          <w:rFonts w:eastAsiaTheme="minorEastAsia"/>
          <w:b/>
          <w:bCs/>
          <w:color w:val="444444"/>
          <w:lang w:eastAsia="en-GB"/>
        </w:rPr>
        <w:t>definition</w:t>
      </w:r>
      <w:r w:rsidRPr="2D7C7445">
        <w:rPr>
          <w:rFonts w:eastAsiaTheme="minorEastAsia"/>
          <w:color w:val="444444"/>
          <w:lang w:eastAsia="en-GB"/>
        </w:rPr>
        <w:t> of “honour” based abuse to be used is:</w:t>
      </w:r>
    </w:p>
    <w:p w14:paraId="03D23775" w14:textId="15BA0AFE" w:rsidR="00C90529" w:rsidRDefault="00C90529" w:rsidP="2D7C7445">
      <w:pPr>
        <w:shd w:val="clear" w:color="auto" w:fill="FFFFFF" w:themeFill="background1"/>
        <w:spacing w:before="240" w:after="240" w:line="360" w:lineRule="atLeast"/>
        <w:rPr>
          <w:rFonts w:eastAsiaTheme="minorEastAsia"/>
          <w:color w:val="444444"/>
          <w:lang w:eastAsia="en-GB"/>
        </w:rPr>
      </w:pPr>
      <w:r w:rsidRPr="2D7C7445">
        <w:rPr>
          <w:rFonts w:eastAsiaTheme="minorEastAsia"/>
          <w:color w:val="444444"/>
          <w:lang w:eastAsia="en-GB"/>
        </w:rPr>
        <w:t>“an incident or crime involving violence, threats of violence, intimidation coercion or abuse (including psychological, physical, sexual, financial or emotional abuse) which has or may have been committed to protect or defend the honour of an individual, family and/ or community for alleged or perceived breaches of the family and/or community’s code of behaviour.”</w:t>
      </w:r>
    </w:p>
    <w:p w14:paraId="24CCADE2" w14:textId="43BCE01E" w:rsidR="008166FC" w:rsidRPr="008166FC" w:rsidRDefault="008166FC" w:rsidP="2D7C7445">
      <w:pPr>
        <w:shd w:val="clear" w:color="auto" w:fill="FFFFFF" w:themeFill="background1"/>
        <w:spacing w:after="0" w:line="360" w:lineRule="atLeast"/>
        <w:rPr>
          <w:rFonts w:eastAsiaTheme="minorEastAsia"/>
          <w:color w:val="444444"/>
          <w:lang w:eastAsia="en-GB"/>
        </w:rPr>
      </w:pPr>
      <w:r w:rsidRPr="7E66B6E7">
        <w:rPr>
          <w:rFonts w:eastAsiaTheme="minorEastAsia"/>
          <w:b/>
          <w:bCs/>
          <w:color w:val="444444"/>
          <w:lang w:eastAsia="en-GB"/>
        </w:rPr>
        <w:t>For the CPS</w:t>
      </w:r>
      <w:r w:rsidRPr="7E66B6E7">
        <w:rPr>
          <w:rFonts w:eastAsiaTheme="minorEastAsia"/>
          <w:color w:val="444444"/>
          <w:lang w:eastAsia="en-GB"/>
        </w:rPr>
        <w:t xml:space="preserve"> we are seeking to record any criminal offence of threatening behaviour, </w:t>
      </w:r>
      <w:r w:rsidR="574E74AD" w:rsidRPr="7E66B6E7">
        <w:rPr>
          <w:rFonts w:eastAsiaTheme="minorEastAsia"/>
          <w:color w:val="444444"/>
          <w:lang w:eastAsia="en-GB"/>
        </w:rPr>
        <w:t>violence,</w:t>
      </w:r>
      <w:r w:rsidRPr="7E66B6E7">
        <w:rPr>
          <w:rFonts w:eastAsiaTheme="minorEastAsia"/>
          <w:color w:val="444444"/>
          <w:lang w:eastAsia="en-GB"/>
        </w:rPr>
        <w:t xml:space="preserve"> or abuse (psychological, physical, sexual, </w:t>
      </w:r>
      <w:r w:rsidR="4E3A238B" w:rsidRPr="7E66B6E7">
        <w:rPr>
          <w:rFonts w:eastAsiaTheme="minorEastAsia"/>
          <w:color w:val="444444"/>
          <w:lang w:eastAsia="en-GB"/>
        </w:rPr>
        <w:t>financial,</w:t>
      </w:r>
      <w:r w:rsidRPr="7E66B6E7">
        <w:rPr>
          <w:rFonts w:eastAsiaTheme="minorEastAsia"/>
          <w:color w:val="444444"/>
          <w:lang w:eastAsia="en-GB"/>
        </w:rPr>
        <w:t xml:space="preserve"> or emotional) </w:t>
      </w:r>
      <w:r w:rsidRPr="7E66B6E7">
        <w:rPr>
          <w:rFonts w:eastAsiaTheme="minorEastAsia"/>
          <w:b/>
          <w:bCs/>
          <w:color w:val="444444"/>
          <w:lang w:eastAsia="en-GB"/>
        </w:rPr>
        <w:t>committed as so-called honour crime</w:t>
      </w:r>
      <w:r w:rsidRPr="7E66B6E7">
        <w:rPr>
          <w:rFonts w:eastAsiaTheme="minorEastAsia"/>
          <w:color w:val="444444"/>
          <w:lang w:eastAsia="en-GB"/>
        </w:rPr>
        <w:t>. Cases would be prosecuted for the specific offence committed, e.g. common assault, GBH, harassment, kidnap, rape, threats to kill, murder. These crimes should be identified as "honour crimes" on the CMS Case Management System as well as by the named offence.</w:t>
      </w:r>
    </w:p>
    <w:p w14:paraId="5B376BDA" w14:textId="63F62725" w:rsidR="008166FC" w:rsidRPr="008166FC" w:rsidRDefault="008166FC" w:rsidP="2D7C7445">
      <w:pPr>
        <w:shd w:val="clear" w:color="auto" w:fill="FFFFFF" w:themeFill="background1"/>
        <w:spacing w:before="240" w:after="240" w:line="360" w:lineRule="atLeast"/>
        <w:rPr>
          <w:rFonts w:eastAsiaTheme="minorEastAsia"/>
          <w:color w:val="444444"/>
          <w:lang w:eastAsia="en-GB"/>
        </w:rPr>
      </w:pPr>
      <w:r w:rsidRPr="7E66B6E7">
        <w:rPr>
          <w:rFonts w:eastAsiaTheme="minorEastAsia"/>
          <w:color w:val="444444"/>
          <w:lang w:eastAsia="en-GB"/>
        </w:rPr>
        <w:t xml:space="preserve">Additionally, </w:t>
      </w:r>
      <w:r w:rsidR="20D9A471" w:rsidRPr="7E66B6E7">
        <w:rPr>
          <w:rFonts w:eastAsiaTheme="minorEastAsia"/>
          <w:color w:val="444444"/>
          <w:lang w:eastAsia="en-GB"/>
        </w:rPr>
        <w:t>honour-based</w:t>
      </w:r>
      <w:r w:rsidRPr="7E66B6E7">
        <w:rPr>
          <w:rFonts w:eastAsiaTheme="minorEastAsia"/>
          <w:color w:val="444444"/>
          <w:lang w:eastAsia="en-GB"/>
        </w:rPr>
        <w:t xml:space="preserve"> crimes could include:</w:t>
      </w:r>
    </w:p>
    <w:p w14:paraId="78315F3C"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Attempted murder;</w:t>
      </w:r>
    </w:p>
    <w:p w14:paraId="191F8739"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Manslaughter;</w:t>
      </w:r>
    </w:p>
    <w:p w14:paraId="69934416"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Procuring an abortion;</w:t>
      </w:r>
    </w:p>
    <w:p w14:paraId="51A7EA8A"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Encouraging or assisting suicide;</w:t>
      </w:r>
    </w:p>
    <w:p w14:paraId="31DD9536"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Conspiracy to murder;</w:t>
      </w:r>
    </w:p>
    <w:p w14:paraId="1CB213BC" w14:textId="77777777" w:rsidR="008166FC" w:rsidRPr="008166FC" w:rsidRDefault="008166FC" w:rsidP="2D7C7445">
      <w:pPr>
        <w:numPr>
          <w:ilvl w:val="0"/>
          <w:numId w:val="6"/>
        </w:numPr>
        <w:shd w:val="clear" w:color="auto" w:fill="FFFFFF" w:themeFill="background1"/>
        <w:spacing w:before="100" w:beforeAutospacing="1" w:after="100" w:afterAutospacing="1" w:line="360" w:lineRule="atLeast"/>
        <w:rPr>
          <w:rFonts w:eastAsiaTheme="minorEastAsia"/>
          <w:color w:val="444444"/>
          <w:lang w:eastAsia="en-GB"/>
        </w:rPr>
      </w:pPr>
      <w:r w:rsidRPr="2D7C7445">
        <w:rPr>
          <w:rFonts w:eastAsiaTheme="minorEastAsia"/>
          <w:color w:val="444444"/>
          <w:lang w:eastAsia="en-GB"/>
        </w:rPr>
        <w:t>Conspiracy to commit a variety of assaults.</w:t>
      </w:r>
    </w:p>
    <w:p w14:paraId="30AB1869" w14:textId="7C49FD68" w:rsidR="000B274B" w:rsidRDefault="000B274B" w:rsidP="2D7C7445">
      <w:pPr>
        <w:rPr>
          <w:rFonts w:eastAsiaTheme="minorEastAsia"/>
          <w:b/>
          <w:bCs/>
        </w:rPr>
      </w:pPr>
      <w:r w:rsidRPr="2D7C7445">
        <w:rPr>
          <w:rFonts w:eastAsiaTheme="minorEastAsia"/>
          <w:b/>
          <w:bCs/>
        </w:rPr>
        <w:t xml:space="preserve">Forced marriage </w:t>
      </w:r>
    </w:p>
    <w:p w14:paraId="26464557" w14:textId="77777777" w:rsidR="008166FC" w:rsidRPr="008166FC" w:rsidRDefault="008166FC" w:rsidP="2D7C7445">
      <w:pPr>
        <w:shd w:val="clear" w:color="auto" w:fill="FFFFFF" w:themeFill="background1"/>
        <w:spacing w:before="300" w:after="300" w:line="240" w:lineRule="auto"/>
        <w:rPr>
          <w:rFonts w:eastAsiaTheme="minorEastAsia"/>
          <w:color w:val="0B0C0C"/>
          <w:lang w:eastAsia="en-GB"/>
        </w:rPr>
      </w:pPr>
      <w:r w:rsidRPr="2D7C7445">
        <w:rPr>
          <w:rFonts w:eastAsiaTheme="minorEastAsia"/>
          <w:color w:val="0B0C0C"/>
          <w:lang w:eastAsia="en-GB"/>
        </w:rPr>
        <w:t>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w:t>
      </w:r>
    </w:p>
    <w:p w14:paraId="70DED652" w14:textId="77777777" w:rsidR="008166FC" w:rsidRPr="008166FC" w:rsidRDefault="008166FC" w:rsidP="2D7C7445">
      <w:pPr>
        <w:shd w:val="clear" w:color="auto" w:fill="FFFFFF" w:themeFill="background1"/>
        <w:spacing w:before="300" w:after="300" w:line="240" w:lineRule="auto"/>
        <w:rPr>
          <w:rFonts w:eastAsiaTheme="minorEastAsia"/>
          <w:color w:val="0B0C0C"/>
          <w:lang w:eastAsia="en-GB"/>
        </w:rPr>
      </w:pPr>
      <w:r w:rsidRPr="2D7C7445">
        <w:rPr>
          <w:rFonts w:eastAsiaTheme="minorEastAsia"/>
          <w:color w:val="0B0C0C"/>
          <w:lang w:eastAsia="en-GB"/>
        </w:rPr>
        <w:t>The pressure put on people to marry against their will may be:</w:t>
      </w:r>
    </w:p>
    <w:p w14:paraId="2FD0FF14" w14:textId="1267F83D" w:rsidR="008166FC" w:rsidRPr="008166FC" w:rsidRDefault="008166FC" w:rsidP="2D7C7445">
      <w:pPr>
        <w:numPr>
          <w:ilvl w:val="0"/>
          <w:numId w:val="7"/>
        </w:numPr>
        <w:shd w:val="clear" w:color="auto" w:fill="FFFFFF" w:themeFill="background1"/>
        <w:spacing w:after="75" w:line="240" w:lineRule="auto"/>
        <w:ind w:left="1020"/>
        <w:rPr>
          <w:rFonts w:eastAsiaTheme="minorEastAsia"/>
          <w:color w:val="0B0C0C"/>
          <w:lang w:eastAsia="en-GB"/>
        </w:rPr>
      </w:pPr>
      <w:r w:rsidRPr="7E66B6E7">
        <w:rPr>
          <w:rFonts w:eastAsiaTheme="minorEastAsia"/>
          <w:color w:val="0B0C0C"/>
          <w:lang w:eastAsia="en-GB"/>
        </w:rPr>
        <w:t xml:space="preserve">physical: for example, threats, physical </w:t>
      </w:r>
      <w:r w:rsidR="5E7810F9" w:rsidRPr="7E66B6E7">
        <w:rPr>
          <w:rFonts w:eastAsiaTheme="minorEastAsia"/>
          <w:color w:val="0B0C0C"/>
          <w:lang w:eastAsia="en-GB"/>
        </w:rPr>
        <w:t>violence,</w:t>
      </w:r>
      <w:r w:rsidRPr="7E66B6E7">
        <w:rPr>
          <w:rFonts w:eastAsiaTheme="minorEastAsia"/>
          <w:color w:val="0B0C0C"/>
          <w:lang w:eastAsia="en-GB"/>
        </w:rPr>
        <w:t xml:space="preserve"> or sexual violence</w:t>
      </w:r>
    </w:p>
    <w:p w14:paraId="7FD65C55" w14:textId="77777777" w:rsidR="008166FC" w:rsidRPr="008166FC" w:rsidRDefault="008166FC" w:rsidP="2D7C7445">
      <w:pPr>
        <w:numPr>
          <w:ilvl w:val="0"/>
          <w:numId w:val="7"/>
        </w:numPr>
        <w:shd w:val="clear" w:color="auto" w:fill="FFFFFF" w:themeFill="background1"/>
        <w:spacing w:after="75" w:line="240" w:lineRule="auto"/>
        <w:ind w:left="1020"/>
        <w:rPr>
          <w:rFonts w:eastAsiaTheme="minorEastAsia"/>
          <w:color w:val="0B0C0C"/>
          <w:lang w:eastAsia="en-GB"/>
        </w:rPr>
      </w:pPr>
      <w:r w:rsidRPr="2D7C7445">
        <w:rPr>
          <w:rFonts w:eastAsiaTheme="minorEastAsia"/>
          <w:color w:val="0B0C0C"/>
          <w:lang w:eastAsia="en-GB"/>
        </w:rPr>
        <w:t>emotional and psychological: for example, making someone feel like they are bringing ‘shame’ on their family</w:t>
      </w:r>
    </w:p>
    <w:p w14:paraId="5DA12050" w14:textId="77777777" w:rsidR="008166FC" w:rsidRPr="008166FC" w:rsidRDefault="008166FC" w:rsidP="2D7C7445">
      <w:pPr>
        <w:shd w:val="clear" w:color="auto" w:fill="FFFFFF" w:themeFill="background1"/>
        <w:spacing w:before="300" w:after="300" w:line="240" w:lineRule="auto"/>
        <w:rPr>
          <w:rFonts w:eastAsiaTheme="minorEastAsia"/>
          <w:color w:val="0B0C0C"/>
          <w:lang w:eastAsia="en-GB"/>
        </w:rPr>
      </w:pPr>
      <w:r w:rsidRPr="7E66B6E7">
        <w:rPr>
          <w:rFonts w:eastAsiaTheme="minorEastAsia"/>
          <w:color w:val="0B0C0C"/>
          <w:lang w:eastAsia="en-GB"/>
        </w:rPr>
        <w:t>Financial abuse, for example taking someone’s wages, may also be a factor.</w:t>
      </w:r>
    </w:p>
    <w:p w14:paraId="6DFE91B0" w14:textId="546A7BC4" w:rsidR="7E66B6E7" w:rsidRDefault="7E66B6E7" w:rsidP="7E66B6E7">
      <w:pPr>
        <w:jc w:val="both"/>
        <w:rPr>
          <w:rFonts w:eastAsiaTheme="minorEastAsia"/>
          <w:b/>
          <w:bCs/>
        </w:rPr>
      </w:pPr>
    </w:p>
    <w:p w14:paraId="1DAD1D2B" w14:textId="2F9C752B" w:rsidR="000B274B" w:rsidRPr="000B274B" w:rsidRDefault="00EC4879" w:rsidP="2D7C7445">
      <w:pPr>
        <w:jc w:val="both"/>
        <w:rPr>
          <w:rFonts w:eastAsiaTheme="minorEastAsia"/>
          <w:b/>
          <w:bCs/>
        </w:rPr>
      </w:pPr>
      <w:r w:rsidRPr="2D7C7445">
        <w:rPr>
          <w:rFonts w:eastAsiaTheme="minorEastAsia"/>
          <w:b/>
          <w:bCs/>
        </w:rPr>
        <w:t>The</w:t>
      </w:r>
      <w:r w:rsidR="008166FC" w:rsidRPr="2D7C7445">
        <w:rPr>
          <w:rFonts w:eastAsiaTheme="minorEastAsia"/>
          <w:b/>
          <w:bCs/>
        </w:rPr>
        <w:t xml:space="preserve"> Essex</w:t>
      </w:r>
      <w:r w:rsidRPr="2D7C7445">
        <w:rPr>
          <w:rFonts w:eastAsiaTheme="minorEastAsia"/>
          <w:b/>
          <w:bCs/>
        </w:rPr>
        <w:t xml:space="preserve"> </w:t>
      </w:r>
      <w:r w:rsidR="008166FC" w:rsidRPr="2D7C7445">
        <w:rPr>
          <w:rFonts w:eastAsiaTheme="minorEastAsia"/>
          <w:b/>
          <w:bCs/>
        </w:rPr>
        <w:t>SET (Southend, Greater Essex &amp; Thurrock)</w:t>
      </w:r>
      <w:r w:rsidR="000B274B" w:rsidRPr="2D7C7445">
        <w:rPr>
          <w:rFonts w:eastAsiaTheme="minorEastAsia"/>
          <w:b/>
          <w:bCs/>
        </w:rPr>
        <w:t xml:space="preserve"> MARAT and HBV incidents</w:t>
      </w:r>
    </w:p>
    <w:p w14:paraId="1544AD6D" w14:textId="414B3400" w:rsidR="000E2A73" w:rsidRDefault="000B274B" w:rsidP="2D7C7445">
      <w:pPr>
        <w:jc w:val="both"/>
        <w:rPr>
          <w:rFonts w:eastAsiaTheme="minorEastAsia"/>
        </w:rPr>
      </w:pPr>
      <w:r w:rsidRPr="68842D03">
        <w:rPr>
          <w:rFonts w:eastAsiaTheme="minorEastAsia"/>
        </w:rPr>
        <w:lastRenderedPageBreak/>
        <w:t xml:space="preserve">The </w:t>
      </w:r>
      <w:r w:rsidR="008166FC" w:rsidRPr="68842D03">
        <w:rPr>
          <w:rFonts w:eastAsiaTheme="minorEastAsia"/>
        </w:rPr>
        <w:t xml:space="preserve">Essex </w:t>
      </w:r>
      <w:r w:rsidRPr="68842D03">
        <w:rPr>
          <w:rFonts w:eastAsiaTheme="minorEastAsia"/>
        </w:rPr>
        <w:t xml:space="preserve">MARAT partnership has agreed that </w:t>
      </w:r>
      <w:r w:rsidR="252BA57E" w:rsidRPr="68842D03">
        <w:rPr>
          <w:rFonts w:eastAsiaTheme="minorEastAsia"/>
        </w:rPr>
        <w:t xml:space="preserve">all high-risk </w:t>
      </w:r>
      <w:r w:rsidR="00EC4879" w:rsidRPr="68842D03">
        <w:rPr>
          <w:rFonts w:eastAsiaTheme="minorEastAsia"/>
        </w:rPr>
        <w:t>Essex</w:t>
      </w:r>
      <w:r w:rsidRPr="68842D03">
        <w:rPr>
          <w:rFonts w:eastAsiaTheme="minorEastAsia"/>
        </w:rPr>
        <w:t xml:space="preserve"> HBV incidents </w:t>
      </w:r>
      <w:r w:rsidR="00FC247B" w:rsidRPr="68842D03">
        <w:rPr>
          <w:rFonts w:eastAsiaTheme="minorEastAsia"/>
        </w:rPr>
        <w:t xml:space="preserve">where the adult is the possible victim </w:t>
      </w:r>
      <w:r w:rsidRPr="68842D03">
        <w:rPr>
          <w:rFonts w:eastAsiaTheme="minorEastAsia"/>
        </w:rPr>
        <w:t xml:space="preserve">should be managed within the </w:t>
      </w:r>
      <w:r w:rsidR="00EC4879" w:rsidRPr="68842D03">
        <w:rPr>
          <w:rFonts w:eastAsiaTheme="minorEastAsia"/>
        </w:rPr>
        <w:t>Essex</w:t>
      </w:r>
      <w:r w:rsidRPr="68842D03">
        <w:rPr>
          <w:rFonts w:eastAsiaTheme="minorEastAsia"/>
        </w:rPr>
        <w:t xml:space="preserve"> MARAT process</w:t>
      </w:r>
      <w:r w:rsidR="00054B7B" w:rsidRPr="68842D03">
        <w:rPr>
          <w:rFonts w:eastAsiaTheme="minorEastAsia"/>
        </w:rPr>
        <w:t xml:space="preserve"> </w:t>
      </w:r>
      <w:r w:rsidR="008166FC" w:rsidRPr="68842D03">
        <w:rPr>
          <w:rFonts w:eastAsiaTheme="minorEastAsia"/>
        </w:rPr>
        <w:t>to</w:t>
      </w:r>
      <w:r w:rsidR="00054B7B" w:rsidRPr="68842D03">
        <w:rPr>
          <w:rFonts w:eastAsiaTheme="minorEastAsia"/>
        </w:rPr>
        <w:t xml:space="preserve"> support multi agency decision making and planning in response to such concerns</w:t>
      </w:r>
      <w:r w:rsidRPr="68842D03">
        <w:rPr>
          <w:rFonts w:eastAsiaTheme="minorEastAsia"/>
        </w:rPr>
        <w:t xml:space="preserve">. </w:t>
      </w:r>
    </w:p>
    <w:p w14:paraId="06BDE7EC" w14:textId="5B436D20" w:rsidR="000B274B" w:rsidRDefault="05FD61A9" w:rsidP="2D7C7445">
      <w:pPr>
        <w:jc w:val="both"/>
        <w:rPr>
          <w:rFonts w:eastAsiaTheme="minorEastAsia"/>
        </w:rPr>
      </w:pPr>
      <w:r w:rsidRPr="7E66B6E7">
        <w:rPr>
          <w:rFonts w:eastAsiaTheme="minorEastAsia"/>
        </w:rPr>
        <w:t>To</w:t>
      </w:r>
      <w:r w:rsidR="000B274B" w:rsidRPr="7E66B6E7">
        <w:rPr>
          <w:rFonts w:eastAsiaTheme="minorEastAsia"/>
        </w:rPr>
        <w:t xml:space="preserve"> ensure safe practice in relation to HBV incidents it was agreed that:</w:t>
      </w:r>
    </w:p>
    <w:p w14:paraId="3E76FA7D" w14:textId="77777777" w:rsidR="000B274B" w:rsidRDefault="000B274B" w:rsidP="2D7C7445">
      <w:pPr>
        <w:pStyle w:val="ListParagraph"/>
        <w:numPr>
          <w:ilvl w:val="0"/>
          <w:numId w:val="4"/>
        </w:numPr>
        <w:jc w:val="both"/>
        <w:rPr>
          <w:rFonts w:eastAsiaTheme="minorEastAsia"/>
        </w:rPr>
      </w:pPr>
      <w:r w:rsidRPr="2D7C7445">
        <w:rPr>
          <w:rFonts w:eastAsiaTheme="minorEastAsia"/>
        </w:rPr>
        <w:t>Bespoke HBV training would be provided to the</w:t>
      </w:r>
      <w:r w:rsidR="00EC4879" w:rsidRPr="2D7C7445">
        <w:rPr>
          <w:rFonts w:eastAsiaTheme="minorEastAsia"/>
        </w:rPr>
        <w:t xml:space="preserve"> Essex</w:t>
      </w:r>
      <w:r w:rsidRPr="2D7C7445">
        <w:rPr>
          <w:rFonts w:eastAsiaTheme="minorEastAsia"/>
        </w:rPr>
        <w:t xml:space="preserve"> MARAT </w:t>
      </w:r>
    </w:p>
    <w:p w14:paraId="75745843" w14:textId="1E78BC03" w:rsidR="000B274B" w:rsidRDefault="000B274B" w:rsidP="2D7C7445">
      <w:pPr>
        <w:pStyle w:val="ListParagraph"/>
        <w:numPr>
          <w:ilvl w:val="0"/>
          <w:numId w:val="4"/>
        </w:numPr>
        <w:jc w:val="both"/>
        <w:rPr>
          <w:rFonts w:eastAsiaTheme="minorEastAsia"/>
        </w:rPr>
      </w:pPr>
      <w:r w:rsidRPr="7E66B6E7">
        <w:rPr>
          <w:rFonts w:eastAsiaTheme="minorEastAsia"/>
        </w:rPr>
        <w:t xml:space="preserve">Each partner within MARAT would identify </w:t>
      </w:r>
      <w:r w:rsidR="63FE83B7" w:rsidRPr="7E66B6E7">
        <w:rPr>
          <w:rFonts w:eastAsiaTheme="minorEastAsia"/>
        </w:rPr>
        <w:t>an</w:t>
      </w:r>
      <w:r w:rsidRPr="7E66B6E7">
        <w:rPr>
          <w:rFonts w:eastAsiaTheme="minorEastAsia"/>
        </w:rPr>
        <w:t xml:space="preserve"> HBV named person</w:t>
      </w:r>
      <w:r w:rsidR="00B11B47" w:rsidRPr="7E66B6E7">
        <w:rPr>
          <w:rFonts w:eastAsiaTheme="minorEastAsia"/>
        </w:rPr>
        <w:t xml:space="preserve"> who will be their MARAT representative for all HBV cases </w:t>
      </w:r>
    </w:p>
    <w:p w14:paraId="0B6AEDCA" w14:textId="77777777" w:rsidR="000B274B" w:rsidRPr="000B274B" w:rsidRDefault="000B274B" w:rsidP="2D7C7445">
      <w:pPr>
        <w:pStyle w:val="ListParagraph"/>
        <w:numPr>
          <w:ilvl w:val="0"/>
          <w:numId w:val="4"/>
        </w:numPr>
        <w:jc w:val="both"/>
        <w:rPr>
          <w:rFonts w:eastAsiaTheme="minorEastAsia"/>
        </w:rPr>
      </w:pPr>
      <w:r w:rsidRPr="2D7C7445">
        <w:rPr>
          <w:rFonts w:eastAsiaTheme="minorEastAsia"/>
        </w:rPr>
        <w:t>Each partner agency would ensure that they</w:t>
      </w:r>
      <w:r w:rsidR="00C64E1B" w:rsidRPr="2D7C7445">
        <w:rPr>
          <w:rFonts w:eastAsiaTheme="minorEastAsia"/>
        </w:rPr>
        <w:t xml:space="preserve"> have appropriate recording polices in place that support restricted access to HBV case information</w:t>
      </w:r>
    </w:p>
    <w:p w14:paraId="20312425" w14:textId="7BEB1493" w:rsidR="00C64E1B" w:rsidRDefault="00C64E1B" w:rsidP="2D7C7445">
      <w:pPr>
        <w:jc w:val="both"/>
        <w:rPr>
          <w:rFonts w:eastAsiaTheme="minorEastAsia"/>
        </w:rPr>
      </w:pPr>
      <w:r w:rsidRPr="7E66B6E7">
        <w:rPr>
          <w:rFonts w:eastAsiaTheme="minorEastAsia"/>
        </w:rPr>
        <w:t xml:space="preserve">In addition, it was agreed that the following principles would underpin all practice from agencies within </w:t>
      </w:r>
      <w:r w:rsidR="008166FC" w:rsidRPr="7E66B6E7">
        <w:rPr>
          <w:rFonts w:eastAsiaTheme="minorEastAsia"/>
        </w:rPr>
        <w:t>Essex</w:t>
      </w:r>
      <w:r w:rsidRPr="7E66B6E7">
        <w:rPr>
          <w:rFonts w:eastAsiaTheme="minorEastAsia"/>
        </w:rPr>
        <w:t xml:space="preserve"> who may receive a disclosure about, or have concerns about, </w:t>
      </w:r>
      <w:bookmarkStart w:id="0" w:name="_Int_ICYKSfcO"/>
      <w:r w:rsidRPr="7E66B6E7">
        <w:rPr>
          <w:rFonts w:eastAsiaTheme="minorEastAsia"/>
        </w:rPr>
        <w:t>possible HBV</w:t>
      </w:r>
      <w:bookmarkEnd w:id="0"/>
      <w:r w:rsidRPr="7E66B6E7">
        <w:rPr>
          <w:rFonts w:eastAsiaTheme="minorEastAsia"/>
        </w:rPr>
        <w:t>:</w:t>
      </w:r>
    </w:p>
    <w:p w14:paraId="1844570A" w14:textId="0EA66049" w:rsidR="00C64E1B" w:rsidRDefault="00C64E1B" w:rsidP="2D7C7445">
      <w:pPr>
        <w:pStyle w:val="ListParagraph"/>
        <w:numPr>
          <w:ilvl w:val="0"/>
          <w:numId w:val="3"/>
        </w:numPr>
        <w:jc w:val="both"/>
        <w:rPr>
          <w:rFonts w:eastAsiaTheme="minorEastAsia"/>
        </w:rPr>
      </w:pPr>
      <w:r w:rsidRPr="7E66B6E7">
        <w:rPr>
          <w:rFonts w:eastAsiaTheme="minorEastAsia"/>
        </w:rPr>
        <w:t xml:space="preserve">That </w:t>
      </w:r>
      <w:r w:rsidR="0123A5DB" w:rsidRPr="7E66B6E7">
        <w:rPr>
          <w:rFonts w:eastAsiaTheme="minorEastAsia"/>
        </w:rPr>
        <w:t>in these</w:t>
      </w:r>
      <w:r w:rsidRPr="7E66B6E7">
        <w:rPr>
          <w:rFonts w:eastAsiaTheme="minorEastAsia"/>
        </w:rPr>
        <w:t xml:space="preserve"> instances family members, friends and the community may pose the biggest risk to the victim</w:t>
      </w:r>
    </w:p>
    <w:p w14:paraId="10CBEBEF" w14:textId="799F0321" w:rsidR="00C64E1B" w:rsidRDefault="00C64E1B" w:rsidP="2D7C7445">
      <w:pPr>
        <w:pStyle w:val="ListParagraph"/>
        <w:numPr>
          <w:ilvl w:val="0"/>
          <w:numId w:val="3"/>
        </w:numPr>
        <w:jc w:val="both"/>
        <w:rPr>
          <w:rFonts w:eastAsiaTheme="minorEastAsia"/>
        </w:rPr>
      </w:pPr>
      <w:r w:rsidRPr="7E66B6E7">
        <w:rPr>
          <w:rFonts w:eastAsiaTheme="minorEastAsia"/>
        </w:rPr>
        <w:t xml:space="preserve">The ‘One Chance’ rule – that we only have </w:t>
      </w:r>
      <w:r w:rsidRPr="7E66B6E7">
        <w:rPr>
          <w:rFonts w:eastAsiaTheme="minorEastAsia"/>
          <w:b/>
          <w:bCs/>
        </w:rPr>
        <w:t>one chance</w:t>
      </w:r>
      <w:r w:rsidRPr="7E66B6E7">
        <w:rPr>
          <w:rFonts w:eastAsiaTheme="minorEastAsia"/>
        </w:rPr>
        <w:t xml:space="preserve"> to speak to a potential victim of HBV and </w:t>
      </w:r>
      <w:r w:rsidR="2647BE27" w:rsidRPr="7E66B6E7">
        <w:rPr>
          <w:rFonts w:eastAsiaTheme="minorEastAsia"/>
        </w:rPr>
        <w:t>prevent</w:t>
      </w:r>
      <w:r w:rsidRPr="7E66B6E7">
        <w:rPr>
          <w:rFonts w:eastAsiaTheme="minorEastAsia"/>
        </w:rPr>
        <w:t xml:space="preserve"> injury or death. If the victim is allowed to walk out of the door without support being offered, that </w:t>
      </w:r>
      <w:r w:rsidRPr="7E66B6E7">
        <w:rPr>
          <w:rFonts w:eastAsiaTheme="minorEastAsia"/>
          <w:b/>
          <w:bCs/>
        </w:rPr>
        <w:t>one chance</w:t>
      </w:r>
      <w:r w:rsidRPr="7E66B6E7">
        <w:rPr>
          <w:rFonts w:eastAsiaTheme="minorEastAsia"/>
        </w:rPr>
        <w:t xml:space="preserve"> might be wasted </w:t>
      </w:r>
    </w:p>
    <w:p w14:paraId="7A26E65E" w14:textId="0507DE54" w:rsidR="00C64E1B" w:rsidRDefault="00C64E1B" w:rsidP="2D7C7445">
      <w:pPr>
        <w:pStyle w:val="ListParagraph"/>
        <w:numPr>
          <w:ilvl w:val="0"/>
          <w:numId w:val="3"/>
        </w:numPr>
        <w:jc w:val="both"/>
        <w:rPr>
          <w:rFonts w:eastAsiaTheme="minorEastAsia"/>
        </w:rPr>
      </w:pPr>
      <w:r w:rsidRPr="7E66B6E7">
        <w:rPr>
          <w:rFonts w:eastAsiaTheme="minorEastAsia"/>
        </w:rPr>
        <w:t xml:space="preserve">The danger of involving the family and the community in cases of HBV – this includes any discussions about the concerns or welfare of a potential victim or any type of family involvement (for example using family, friends, </w:t>
      </w:r>
      <w:r w:rsidR="524306A6" w:rsidRPr="7E66B6E7">
        <w:rPr>
          <w:rFonts w:eastAsiaTheme="minorEastAsia"/>
        </w:rPr>
        <w:t>neighbours,</w:t>
      </w:r>
      <w:r w:rsidRPr="7E66B6E7">
        <w:rPr>
          <w:rFonts w:eastAsiaTheme="minorEastAsia"/>
        </w:rPr>
        <w:t xml:space="preserve"> or community leaders as interpreters)</w:t>
      </w:r>
    </w:p>
    <w:p w14:paraId="4160AD58" w14:textId="200CF350" w:rsidR="00C64E1B" w:rsidRDefault="00C64E1B" w:rsidP="2D7C7445">
      <w:pPr>
        <w:pStyle w:val="ListParagraph"/>
        <w:numPr>
          <w:ilvl w:val="0"/>
          <w:numId w:val="3"/>
        </w:numPr>
        <w:jc w:val="both"/>
        <w:rPr>
          <w:rFonts w:eastAsiaTheme="minorEastAsia"/>
        </w:rPr>
      </w:pPr>
      <w:r w:rsidRPr="7E66B6E7">
        <w:rPr>
          <w:rFonts w:eastAsiaTheme="minorEastAsia"/>
        </w:rPr>
        <w:t xml:space="preserve">That current policies and procedures for managing confidential records in relation to potential HBV are required to be fit for purpose. This may include securing potential HBV </w:t>
      </w:r>
      <w:r w:rsidR="56E37A16" w:rsidRPr="7E66B6E7">
        <w:rPr>
          <w:rFonts w:eastAsiaTheme="minorEastAsia"/>
        </w:rPr>
        <w:t>victims'</w:t>
      </w:r>
      <w:r w:rsidRPr="7E66B6E7">
        <w:rPr>
          <w:rFonts w:eastAsiaTheme="minorEastAsia"/>
        </w:rPr>
        <w:t xml:space="preserve"> records to restrict staff access</w:t>
      </w:r>
    </w:p>
    <w:p w14:paraId="34E6D2ED" w14:textId="77777777" w:rsidR="00C64E1B" w:rsidRDefault="00C64E1B" w:rsidP="2D7C7445">
      <w:pPr>
        <w:pStyle w:val="ListParagraph"/>
        <w:numPr>
          <w:ilvl w:val="0"/>
          <w:numId w:val="3"/>
        </w:numPr>
        <w:jc w:val="both"/>
        <w:rPr>
          <w:rFonts w:eastAsiaTheme="minorEastAsia"/>
        </w:rPr>
      </w:pPr>
      <w:r w:rsidRPr="2D7C7445">
        <w:rPr>
          <w:rFonts w:eastAsiaTheme="minorEastAsia"/>
        </w:rPr>
        <w:t>That the underlying principles within safeguarding, whereby young people and adults with support needs are deemed to be best placed within their family if possible, and the practice of attempting to reconcile, mediate and offer counselling to achieve this, could inadvertently place potential victims of HBV at greater risk of harm</w:t>
      </w:r>
    </w:p>
    <w:p w14:paraId="16368C4B" w14:textId="77777777" w:rsidR="007B2E37" w:rsidRDefault="007B2E37" w:rsidP="2D7C7445">
      <w:pPr>
        <w:rPr>
          <w:rFonts w:eastAsiaTheme="minorEastAsia"/>
          <w:b/>
          <w:bCs/>
        </w:rPr>
      </w:pPr>
      <w:r w:rsidRPr="2D7C7445">
        <w:rPr>
          <w:rFonts w:eastAsiaTheme="minorEastAsia"/>
          <w:b/>
          <w:bCs/>
        </w:rPr>
        <w:t xml:space="preserve">Procedure </w:t>
      </w:r>
    </w:p>
    <w:p w14:paraId="45B0C395" w14:textId="77777777" w:rsidR="007B2E37" w:rsidRDefault="007B2E37" w:rsidP="2D7C7445">
      <w:pPr>
        <w:jc w:val="both"/>
        <w:rPr>
          <w:rFonts w:eastAsiaTheme="minorEastAsia"/>
        </w:rPr>
      </w:pPr>
      <w:r w:rsidRPr="7E66B6E7">
        <w:rPr>
          <w:rFonts w:eastAsiaTheme="minorEastAsia"/>
        </w:rPr>
        <w:t xml:space="preserve">The following procedure should be followed for all cases where </w:t>
      </w:r>
      <w:r w:rsidR="00A47B4C" w:rsidRPr="7E66B6E7">
        <w:rPr>
          <w:rFonts w:eastAsiaTheme="minorEastAsia"/>
        </w:rPr>
        <w:t>agencies identify</w:t>
      </w:r>
      <w:r w:rsidRPr="7E66B6E7">
        <w:rPr>
          <w:rFonts w:eastAsiaTheme="minorEastAsia"/>
        </w:rPr>
        <w:t xml:space="preserve"> </w:t>
      </w:r>
      <w:bookmarkStart w:id="1" w:name="_Int_iFXmqz0K"/>
      <w:r w:rsidRPr="7E66B6E7">
        <w:rPr>
          <w:rFonts w:eastAsiaTheme="minorEastAsia"/>
        </w:rPr>
        <w:t>possible HBV</w:t>
      </w:r>
      <w:bookmarkEnd w:id="1"/>
      <w:r w:rsidRPr="7E66B6E7">
        <w:rPr>
          <w:rFonts w:eastAsiaTheme="minorEastAsia"/>
        </w:rPr>
        <w:t xml:space="preserve"> concerns for an adult:  </w:t>
      </w:r>
    </w:p>
    <w:p w14:paraId="294BF6A9" w14:textId="0814C8F0" w:rsidR="007B2E37" w:rsidRDefault="007B2E37" w:rsidP="2D7C7445">
      <w:pPr>
        <w:pStyle w:val="ListParagraph"/>
        <w:numPr>
          <w:ilvl w:val="0"/>
          <w:numId w:val="5"/>
        </w:numPr>
        <w:jc w:val="both"/>
        <w:rPr>
          <w:rFonts w:eastAsiaTheme="minorEastAsia"/>
        </w:rPr>
      </w:pPr>
      <w:r w:rsidRPr="68842D03">
        <w:rPr>
          <w:rFonts w:eastAsiaTheme="minorEastAsia"/>
        </w:rPr>
        <w:t>Agency identify</w:t>
      </w:r>
      <w:r w:rsidR="73E7FDDE" w:rsidRPr="68842D03">
        <w:rPr>
          <w:rFonts w:eastAsiaTheme="minorEastAsia"/>
        </w:rPr>
        <w:t xml:space="preserve"> high risk</w:t>
      </w:r>
      <w:r w:rsidRPr="68842D03">
        <w:rPr>
          <w:rFonts w:eastAsiaTheme="minorEastAsia"/>
        </w:rPr>
        <w:t xml:space="preserve"> HBV concerns via a </w:t>
      </w:r>
      <w:r w:rsidR="6EDA3ABE" w:rsidRPr="68842D03">
        <w:rPr>
          <w:rFonts w:eastAsiaTheme="minorEastAsia"/>
        </w:rPr>
        <w:t>DARA/</w:t>
      </w:r>
      <w:r w:rsidRPr="68842D03">
        <w:rPr>
          <w:rFonts w:eastAsiaTheme="minorEastAsia"/>
        </w:rPr>
        <w:t>DASH/Professional Judgement and then follow their own procedures in respect of HBV concerns</w:t>
      </w:r>
    </w:p>
    <w:p w14:paraId="62426877" w14:textId="22F7E7E3" w:rsidR="007B2E37" w:rsidRDefault="007B2E37" w:rsidP="2D7C7445">
      <w:pPr>
        <w:pStyle w:val="ListParagraph"/>
        <w:numPr>
          <w:ilvl w:val="0"/>
          <w:numId w:val="5"/>
        </w:numPr>
        <w:jc w:val="both"/>
        <w:rPr>
          <w:rFonts w:eastAsiaTheme="minorEastAsia"/>
        </w:rPr>
      </w:pPr>
      <w:r w:rsidRPr="68842D03">
        <w:rPr>
          <w:rFonts w:eastAsiaTheme="minorEastAsia"/>
        </w:rPr>
        <w:t xml:space="preserve">Agency will contact </w:t>
      </w:r>
      <w:r w:rsidR="00EC4879" w:rsidRPr="68842D03">
        <w:rPr>
          <w:rFonts w:eastAsiaTheme="minorEastAsia"/>
        </w:rPr>
        <w:t>Essex</w:t>
      </w:r>
      <w:r w:rsidRPr="68842D03">
        <w:rPr>
          <w:rFonts w:eastAsiaTheme="minorEastAsia"/>
        </w:rPr>
        <w:t xml:space="preserve"> MARAT by </w:t>
      </w:r>
      <w:r w:rsidR="54720905" w:rsidRPr="68842D03">
        <w:rPr>
          <w:rFonts w:eastAsiaTheme="minorEastAsia"/>
        </w:rPr>
        <w:t>sensitive</w:t>
      </w:r>
      <w:r w:rsidR="008166FC" w:rsidRPr="68842D03">
        <w:rPr>
          <w:rFonts w:eastAsiaTheme="minorEastAsia"/>
        </w:rPr>
        <w:t xml:space="preserve"> headed email marked u</w:t>
      </w:r>
      <w:r w:rsidR="00667B6F" w:rsidRPr="68842D03">
        <w:rPr>
          <w:rFonts w:eastAsiaTheme="minorEastAsia"/>
        </w:rPr>
        <w:t>r</w:t>
      </w:r>
      <w:r w:rsidR="008166FC" w:rsidRPr="68842D03">
        <w:rPr>
          <w:rFonts w:eastAsiaTheme="minorEastAsia"/>
        </w:rPr>
        <w:t>gent</w:t>
      </w:r>
      <w:r w:rsidRPr="68842D03">
        <w:rPr>
          <w:rFonts w:eastAsiaTheme="minorEastAsia"/>
        </w:rPr>
        <w:t xml:space="preserve"> </w:t>
      </w:r>
      <w:r w:rsidR="008166FC" w:rsidRPr="68842D03">
        <w:rPr>
          <w:rFonts w:eastAsiaTheme="minorEastAsia"/>
        </w:rPr>
        <w:t>and notify</w:t>
      </w:r>
      <w:r w:rsidR="00667B6F" w:rsidRPr="68842D03">
        <w:rPr>
          <w:rFonts w:eastAsiaTheme="minorEastAsia"/>
        </w:rPr>
        <w:t xml:space="preserve"> </w:t>
      </w:r>
      <w:r w:rsidR="7FAF6E3C" w:rsidRPr="68842D03">
        <w:rPr>
          <w:rFonts w:eastAsiaTheme="minorEastAsia"/>
        </w:rPr>
        <w:t>of</w:t>
      </w:r>
      <w:r w:rsidR="00667B6F" w:rsidRPr="68842D03">
        <w:rPr>
          <w:rFonts w:eastAsiaTheme="minorEastAsia"/>
        </w:rPr>
        <w:t xml:space="preserve"> </w:t>
      </w:r>
      <w:r w:rsidRPr="68842D03">
        <w:rPr>
          <w:rFonts w:eastAsiaTheme="minorEastAsia"/>
        </w:rPr>
        <w:t xml:space="preserve">a </w:t>
      </w:r>
      <w:bookmarkStart w:id="2" w:name="_Int_JZsd8v4v"/>
      <w:r w:rsidRPr="68842D03">
        <w:rPr>
          <w:rFonts w:eastAsiaTheme="minorEastAsia"/>
        </w:rPr>
        <w:t xml:space="preserve">HBV </w:t>
      </w:r>
      <w:r w:rsidR="00667B6F" w:rsidRPr="68842D03">
        <w:rPr>
          <w:rFonts w:eastAsiaTheme="minorEastAsia"/>
        </w:rPr>
        <w:t>,</w:t>
      </w:r>
      <w:bookmarkEnd w:id="2"/>
      <w:r w:rsidR="00667B6F" w:rsidRPr="68842D03">
        <w:rPr>
          <w:rFonts w:eastAsiaTheme="minorEastAsia"/>
        </w:rPr>
        <w:t xml:space="preserve"> </w:t>
      </w:r>
      <w:r w:rsidRPr="68842D03">
        <w:rPr>
          <w:rFonts w:eastAsiaTheme="minorEastAsia"/>
        </w:rPr>
        <w:t>share the DASH</w:t>
      </w:r>
      <w:r w:rsidR="23C5D5F0" w:rsidRPr="68842D03">
        <w:rPr>
          <w:rFonts w:eastAsiaTheme="minorEastAsia"/>
        </w:rPr>
        <w:t>/DARA</w:t>
      </w:r>
      <w:r w:rsidRPr="68842D03">
        <w:rPr>
          <w:rFonts w:eastAsiaTheme="minorEastAsia"/>
        </w:rPr>
        <w:t xml:space="preserve"> information and other relevant information gathered</w:t>
      </w:r>
      <w:r w:rsidR="00667B6F" w:rsidRPr="68842D03">
        <w:rPr>
          <w:rFonts w:eastAsiaTheme="minorEastAsia"/>
        </w:rPr>
        <w:t xml:space="preserve"> using the Essex MARAC referral form, unless Police referral for which written notification of the relevant Athena reference will be required.</w:t>
      </w:r>
    </w:p>
    <w:p w14:paraId="640256C8" w14:textId="3DDD9A3E" w:rsidR="004647E7" w:rsidRDefault="004647E7" w:rsidP="2D7C7445">
      <w:pPr>
        <w:pStyle w:val="ListParagraph"/>
        <w:numPr>
          <w:ilvl w:val="0"/>
          <w:numId w:val="5"/>
        </w:numPr>
        <w:jc w:val="both"/>
        <w:rPr>
          <w:rFonts w:eastAsiaTheme="minorEastAsia"/>
        </w:rPr>
      </w:pPr>
      <w:r w:rsidRPr="68842D03">
        <w:rPr>
          <w:rFonts w:eastAsiaTheme="minorEastAsia"/>
        </w:rPr>
        <w:t xml:space="preserve">Any referral received from a Partner Agency that are not Police should be passed to </w:t>
      </w:r>
      <w:r w:rsidR="33C45EE9" w:rsidRPr="68842D03">
        <w:rPr>
          <w:rFonts w:eastAsiaTheme="minorEastAsia"/>
        </w:rPr>
        <w:t>the MARAT Police Team</w:t>
      </w:r>
      <w:r w:rsidRPr="68842D03">
        <w:rPr>
          <w:rFonts w:eastAsiaTheme="minorEastAsia"/>
        </w:rPr>
        <w:t xml:space="preserve"> for safeguarding considerations as a matter of urgency by the MARAC Operations Manager.</w:t>
      </w:r>
    </w:p>
    <w:p w14:paraId="28AE8A7A" w14:textId="043D2A9A" w:rsidR="00A735D6" w:rsidRDefault="00A735D6" w:rsidP="2D7C7445">
      <w:pPr>
        <w:pStyle w:val="ListParagraph"/>
        <w:numPr>
          <w:ilvl w:val="0"/>
          <w:numId w:val="5"/>
        </w:numPr>
        <w:jc w:val="both"/>
        <w:rPr>
          <w:rFonts w:eastAsiaTheme="minorEastAsia"/>
        </w:rPr>
      </w:pPr>
      <w:r w:rsidRPr="57BE45B4">
        <w:rPr>
          <w:rFonts w:eastAsiaTheme="minorEastAsia"/>
        </w:rPr>
        <w:lastRenderedPageBreak/>
        <w:t xml:space="preserve">Agency also refer to Children’s social care and/or Adult Social care as per SET </w:t>
      </w:r>
      <w:r w:rsidR="57F640C5" w:rsidRPr="57BE45B4">
        <w:rPr>
          <w:rFonts w:eastAsiaTheme="minorEastAsia"/>
        </w:rPr>
        <w:t>procedures where</w:t>
      </w:r>
      <w:r w:rsidRPr="57BE45B4">
        <w:rPr>
          <w:rFonts w:eastAsiaTheme="minorEastAsia"/>
        </w:rPr>
        <w:t xml:space="preserve"> there are children </w:t>
      </w:r>
      <w:r w:rsidR="00A3526D" w:rsidRPr="57BE45B4">
        <w:rPr>
          <w:rFonts w:eastAsiaTheme="minorEastAsia"/>
        </w:rPr>
        <w:t xml:space="preserve">in the household at risk </w:t>
      </w:r>
      <w:r w:rsidRPr="57BE45B4">
        <w:rPr>
          <w:rFonts w:eastAsiaTheme="minorEastAsia"/>
        </w:rPr>
        <w:t>and/or an adult with care needs in the household</w:t>
      </w:r>
      <w:r w:rsidR="00A3526D" w:rsidRPr="57BE45B4">
        <w:rPr>
          <w:rFonts w:eastAsiaTheme="minorEastAsia"/>
        </w:rPr>
        <w:t>,</w:t>
      </w:r>
      <w:r w:rsidRPr="57BE45B4">
        <w:rPr>
          <w:rFonts w:eastAsiaTheme="minorEastAsia"/>
        </w:rPr>
        <w:t xml:space="preserve"> highlighting the case as HBV.</w:t>
      </w:r>
      <w:r w:rsidR="00A3526D" w:rsidRPr="57BE45B4">
        <w:rPr>
          <w:rFonts w:eastAsiaTheme="minorEastAsia"/>
        </w:rPr>
        <w:t xml:space="preserve"> This should be done at the same time as the MARAC referral.</w:t>
      </w:r>
    </w:p>
    <w:p w14:paraId="4B033DB7" w14:textId="521C0060" w:rsidR="007B2E37" w:rsidRPr="00DE4507" w:rsidRDefault="007B2E37" w:rsidP="2D7C7445">
      <w:pPr>
        <w:pStyle w:val="ListParagraph"/>
        <w:numPr>
          <w:ilvl w:val="0"/>
          <w:numId w:val="5"/>
        </w:numPr>
        <w:jc w:val="both"/>
        <w:rPr>
          <w:rFonts w:eastAsiaTheme="minorEastAsia"/>
        </w:rPr>
      </w:pPr>
      <w:r w:rsidRPr="2D7C7445">
        <w:rPr>
          <w:rFonts w:eastAsiaTheme="minorEastAsia"/>
        </w:rPr>
        <w:t>A MARAT</w:t>
      </w:r>
      <w:r w:rsidR="00667B6F" w:rsidRPr="2D7C7445">
        <w:rPr>
          <w:rFonts w:eastAsiaTheme="minorEastAsia"/>
        </w:rPr>
        <w:t xml:space="preserve"> admin</w:t>
      </w:r>
      <w:r w:rsidRPr="2D7C7445">
        <w:rPr>
          <w:rFonts w:eastAsiaTheme="minorEastAsia"/>
        </w:rPr>
        <w:t xml:space="preserve"> representative takes the referral information and MARAT admin </w:t>
      </w:r>
      <w:r w:rsidR="00667B6F" w:rsidRPr="2D7C7445">
        <w:rPr>
          <w:rFonts w:eastAsiaTheme="minorEastAsia"/>
        </w:rPr>
        <w:t>confirms the case with their MARAT Operation Manager and agree for a time to list the case.</w:t>
      </w:r>
      <w:r w:rsidRPr="2D7C7445">
        <w:rPr>
          <w:rFonts w:eastAsiaTheme="minorEastAsia"/>
        </w:rPr>
        <w:t xml:space="preserve"> following the procedure for restricted access to HBV cases </w:t>
      </w:r>
    </w:p>
    <w:p w14:paraId="566375B0" w14:textId="77777777" w:rsidR="007B2E37" w:rsidRDefault="00A47B4C" w:rsidP="2D7C7445">
      <w:pPr>
        <w:pStyle w:val="ListParagraph"/>
        <w:numPr>
          <w:ilvl w:val="0"/>
          <w:numId w:val="5"/>
        </w:numPr>
        <w:jc w:val="both"/>
        <w:rPr>
          <w:rFonts w:eastAsiaTheme="minorEastAsia"/>
        </w:rPr>
      </w:pPr>
      <w:r w:rsidRPr="2D7C7445">
        <w:rPr>
          <w:rFonts w:eastAsiaTheme="minorEastAsia"/>
        </w:rPr>
        <w:t xml:space="preserve">MARAT manager/or </w:t>
      </w:r>
      <w:r w:rsidR="007460AC" w:rsidRPr="2D7C7445">
        <w:rPr>
          <w:rFonts w:eastAsiaTheme="minorEastAsia"/>
        </w:rPr>
        <w:t>relevant MARAT member</w:t>
      </w:r>
      <w:r w:rsidRPr="2D7C7445">
        <w:rPr>
          <w:rFonts w:eastAsiaTheme="minorEastAsia"/>
        </w:rPr>
        <w:t xml:space="preserve"> </w:t>
      </w:r>
      <w:r w:rsidR="007B2E37" w:rsidRPr="2D7C7445">
        <w:rPr>
          <w:rFonts w:eastAsiaTheme="minorEastAsia"/>
        </w:rPr>
        <w:t xml:space="preserve">and </w:t>
      </w:r>
      <w:r w:rsidRPr="2D7C7445">
        <w:rPr>
          <w:rFonts w:eastAsiaTheme="minorEastAsia"/>
        </w:rPr>
        <w:t xml:space="preserve">the </w:t>
      </w:r>
      <w:r w:rsidR="007B2E37" w:rsidRPr="2D7C7445">
        <w:rPr>
          <w:rFonts w:eastAsiaTheme="minorEastAsia"/>
        </w:rPr>
        <w:t>referring agency identify if they require an emergency MARAT HBV meeting, which will be held within 24 hours of the referral. Minimum attendance of 3 HBV representatives is required</w:t>
      </w:r>
    </w:p>
    <w:p w14:paraId="40A6C378" w14:textId="4783936F" w:rsidR="007B2E37" w:rsidRDefault="007B2E37" w:rsidP="2D7C7445">
      <w:pPr>
        <w:pStyle w:val="ListParagraph"/>
        <w:numPr>
          <w:ilvl w:val="0"/>
          <w:numId w:val="5"/>
        </w:numPr>
        <w:jc w:val="both"/>
        <w:rPr>
          <w:rFonts w:eastAsiaTheme="minorEastAsia"/>
        </w:rPr>
      </w:pPr>
      <w:r w:rsidRPr="57BE45B4">
        <w:rPr>
          <w:rFonts w:eastAsiaTheme="minorEastAsia"/>
        </w:rPr>
        <w:t xml:space="preserve">If it is not </w:t>
      </w:r>
      <w:r w:rsidR="720421A0" w:rsidRPr="57BE45B4">
        <w:rPr>
          <w:rFonts w:eastAsiaTheme="minorEastAsia"/>
        </w:rPr>
        <w:t>an emergency</w:t>
      </w:r>
      <w:r w:rsidRPr="57BE45B4">
        <w:rPr>
          <w:rFonts w:eastAsiaTheme="minorEastAsia"/>
        </w:rPr>
        <w:t>, a MARAT HBV meeting will be held within 10 – 14 working days of the referral</w:t>
      </w:r>
    </w:p>
    <w:p w14:paraId="58A5A6F6" w14:textId="1A6793D6" w:rsidR="007B2E37" w:rsidRDefault="007B2E37" w:rsidP="2D7C7445">
      <w:pPr>
        <w:pStyle w:val="ListParagraph"/>
        <w:numPr>
          <w:ilvl w:val="0"/>
          <w:numId w:val="5"/>
        </w:numPr>
        <w:jc w:val="both"/>
        <w:rPr>
          <w:rFonts w:eastAsiaTheme="minorEastAsia"/>
        </w:rPr>
      </w:pPr>
      <w:r w:rsidRPr="57BE45B4">
        <w:rPr>
          <w:rFonts w:eastAsiaTheme="minorEastAsia"/>
        </w:rPr>
        <w:t>MARAT admin</w:t>
      </w:r>
      <w:r w:rsidR="00F46A87" w:rsidRPr="57BE45B4">
        <w:rPr>
          <w:rFonts w:eastAsiaTheme="minorEastAsia"/>
        </w:rPr>
        <w:t>s</w:t>
      </w:r>
      <w:r w:rsidRPr="57BE45B4">
        <w:rPr>
          <w:rFonts w:eastAsiaTheme="minorEastAsia"/>
        </w:rPr>
        <w:t xml:space="preserve"> </w:t>
      </w:r>
      <w:r w:rsidR="00667B6F" w:rsidRPr="57BE45B4">
        <w:rPr>
          <w:rFonts w:eastAsiaTheme="minorEastAsia"/>
        </w:rPr>
        <w:t>email all relevant agencies/s</w:t>
      </w:r>
      <w:r w:rsidRPr="57BE45B4">
        <w:rPr>
          <w:rFonts w:eastAsiaTheme="minorEastAsia"/>
        </w:rPr>
        <w:t>ervices wher</w:t>
      </w:r>
      <w:r w:rsidR="00A47B4C" w:rsidRPr="57BE45B4">
        <w:rPr>
          <w:rFonts w:eastAsiaTheme="minorEastAsia"/>
        </w:rPr>
        <w:t>e appropriate to advise that an</w:t>
      </w:r>
      <w:r w:rsidRPr="57BE45B4">
        <w:rPr>
          <w:rFonts w:eastAsiaTheme="minorEastAsia"/>
        </w:rPr>
        <w:t xml:space="preserve"> HBV incident is going to /has already been sent to </w:t>
      </w:r>
      <w:r w:rsidR="652EC500" w:rsidRPr="57BE45B4">
        <w:rPr>
          <w:rFonts w:eastAsiaTheme="minorEastAsia"/>
        </w:rPr>
        <w:t>them</w:t>
      </w:r>
      <w:r w:rsidR="00667B6F" w:rsidRPr="57BE45B4">
        <w:rPr>
          <w:rFonts w:eastAsiaTheme="minorEastAsia"/>
        </w:rPr>
        <w:t>. Those agencies should then follow their own security protocols for locking records down.</w:t>
      </w:r>
    </w:p>
    <w:p w14:paraId="6603196F" w14:textId="197B3423" w:rsidR="007B2E37" w:rsidRPr="00DE4507" w:rsidRDefault="007B2E37" w:rsidP="2D7C7445">
      <w:pPr>
        <w:pStyle w:val="ListParagraph"/>
        <w:numPr>
          <w:ilvl w:val="0"/>
          <w:numId w:val="5"/>
        </w:numPr>
        <w:jc w:val="both"/>
        <w:rPr>
          <w:rFonts w:eastAsiaTheme="minorEastAsia"/>
        </w:rPr>
      </w:pPr>
      <w:r w:rsidRPr="2D7C7445">
        <w:rPr>
          <w:rFonts w:eastAsiaTheme="minorEastAsia"/>
        </w:rPr>
        <w:t>MARAT HBV representatives research information relevant to the incident/family and provide this for the meeting. This will be minimal information as to whether the family is known if it is an emergency MARAT HBV meeting</w:t>
      </w:r>
    </w:p>
    <w:p w14:paraId="1FF3B103" w14:textId="65D8C2E1" w:rsidR="007B2E37" w:rsidRPr="00DE4507" w:rsidRDefault="007B2E37" w:rsidP="2D7C7445">
      <w:pPr>
        <w:pStyle w:val="ListParagraph"/>
        <w:numPr>
          <w:ilvl w:val="0"/>
          <w:numId w:val="5"/>
        </w:numPr>
        <w:jc w:val="both"/>
        <w:rPr>
          <w:rFonts w:eastAsiaTheme="minorEastAsia"/>
        </w:rPr>
      </w:pPr>
      <w:r w:rsidRPr="2D7C7445">
        <w:rPr>
          <w:rFonts w:eastAsiaTheme="minorEastAsia"/>
        </w:rPr>
        <w:t>The MARAT HBV meeting</w:t>
      </w:r>
      <w:r w:rsidR="00667B6F" w:rsidRPr="2D7C7445">
        <w:rPr>
          <w:rFonts w:eastAsiaTheme="minorEastAsia"/>
        </w:rPr>
        <w:t xml:space="preserve"> will be heard on Teams</w:t>
      </w:r>
      <w:r w:rsidRPr="2D7C7445">
        <w:rPr>
          <w:rFonts w:eastAsiaTheme="minorEastAsia"/>
        </w:rPr>
        <w:t>. Purpose of the meeting is to agree and produce a MARAT HBV action and safety plan, using the MARAT action plan format</w:t>
      </w:r>
    </w:p>
    <w:p w14:paraId="62DA72F7" w14:textId="1970279D" w:rsidR="007B2E37" w:rsidRDefault="007B2E37" w:rsidP="2D7C7445">
      <w:pPr>
        <w:pStyle w:val="ListParagraph"/>
        <w:numPr>
          <w:ilvl w:val="0"/>
          <w:numId w:val="5"/>
        </w:numPr>
        <w:jc w:val="both"/>
        <w:rPr>
          <w:rFonts w:eastAsiaTheme="minorEastAsia"/>
        </w:rPr>
      </w:pPr>
      <w:r w:rsidRPr="68842D03">
        <w:rPr>
          <w:rFonts w:eastAsiaTheme="minorEastAsia"/>
        </w:rPr>
        <w:t xml:space="preserve">The MARAT HBV action and safety plan will identify who will complete the actions </w:t>
      </w:r>
      <w:r w:rsidR="00667B6F" w:rsidRPr="68842D03">
        <w:rPr>
          <w:rFonts w:eastAsiaTheme="minorEastAsia"/>
        </w:rPr>
        <w:t>agreed</w:t>
      </w:r>
      <w:r w:rsidRPr="68842D03">
        <w:rPr>
          <w:rFonts w:eastAsiaTheme="minorEastAsia"/>
        </w:rPr>
        <w:t xml:space="preserve"> to address the concerns and the </w:t>
      </w:r>
      <w:r w:rsidR="543174A3" w:rsidRPr="68842D03">
        <w:rPr>
          <w:rFonts w:eastAsiaTheme="minorEastAsia"/>
        </w:rPr>
        <w:t>time</w:t>
      </w:r>
      <w:r w:rsidRPr="68842D03">
        <w:rPr>
          <w:rFonts w:eastAsiaTheme="minorEastAsia"/>
        </w:rPr>
        <w:t xml:space="preserve"> for completion </w:t>
      </w:r>
    </w:p>
    <w:p w14:paraId="416BA928" w14:textId="3D291D88" w:rsidR="5C7649CA" w:rsidRDefault="5C7649CA" w:rsidP="68842D03">
      <w:pPr>
        <w:pStyle w:val="ListParagraph"/>
        <w:numPr>
          <w:ilvl w:val="0"/>
          <w:numId w:val="5"/>
        </w:numPr>
        <w:jc w:val="both"/>
        <w:rPr>
          <w:rFonts w:eastAsiaTheme="minorEastAsia"/>
        </w:rPr>
      </w:pPr>
      <w:r w:rsidRPr="68842D03">
        <w:rPr>
          <w:rFonts w:eastAsiaTheme="minorEastAsia"/>
        </w:rPr>
        <w:t>Only those HBV cases that have been risk assessed as high will be heard at MARAC.</w:t>
      </w:r>
    </w:p>
    <w:p w14:paraId="60DB43E2" w14:textId="77777777" w:rsidR="007B2E37" w:rsidRDefault="007B2E37" w:rsidP="00CE2F14"/>
    <w:p w14:paraId="12097060" w14:textId="4035F267" w:rsidR="007B2E37" w:rsidRDefault="00A47B4C" w:rsidP="004647E7">
      <w:r>
        <w:rPr>
          <w:rFonts w:cs="Arial"/>
        </w:rPr>
        <w:t xml:space="preserve"> </w:t>
      </w:r>
      <w:r w:rsidR="009971DF">
        <w:rPr>
          <w:rFonts w:cs="Arial"/>
          <w:b/>
        </w:rPr>
        <w:t xml:space="preserve"> </w:t>
      </w:r>
    </w:p>
    <w:p w14:paraId="0F28D74A" w14:textId="77777777" w:rsidR="007B2E37" w:rsidRPr="000E2A73" w:rsidRDefault="007B2E37" w:rsidP="00CE2F14">
      <w:pPr>
        <w:rPr>
          <w:rFonts w:cs="Arial"/>
          <w:b/>
        </w:rPr>
      </w:pPr>
    </w:p>
    <w:sectPr w:rsidR="007B2E37" w:rsidRPr="000E2A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81E5" w14:textId="77777777" w:rsidR="00EB71CB" w:rsidRDefault="00EB71CB" w:rsidP="00EA5AB7">
      <w:pPr>
        <w:spacing w:after="0" w:line="240" w:lineRule="auto"/>
      </w:pPr>
      <w:r>
        <w:separator/>
      </w:r>
    </w:p>
  </w:endnote>
  <w:endnote w:type="continuationSeparator" w:id="0">
    <w:p w14:paraId="454811C4" w14:textId="77777777" w:rsidR="00EB71CB" w:rsidRDefault="00EB71CB" w:rsidP="00EA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3930" w14:textId="77777777" w:rsidR="00EB71CB" w:rsidRDefault="00EB71CB" w:rsidP="00EA5AB7">
      <w:pPr>
        <w:spacing w:after="0" w:line="240" w:lineRule="auto"/>
      </w:pPr>
      <w:r>
        <w:separator/>
      </w:r>
    </w:p>
  </w:footnote>
  <w:footnote w:type="continuationSeparator" w:id="0">
    <w:p w14:paraId="6D3E7EEB" w14:textId="77777777" w:rsidR="00EB71CB" w:rsidRDefault="00EB71CB" w:rsidP="00EA5AB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CYKSfcO" int2:invalidationBookmarkName="" int2:hashCode="TcJ+SuqqSIDysK" int2:id="lBFYhmSX">
      <int2:state int2:value="Rejected" int2:type="AugLoop_Text_Critique"/>
    </int2:bookmark>
    <int2:bookmark int2:bookmarkName="_Int_iFXmqz0K" int2:invalidationBookmarkName="" int2:hashCode="TcJ+SuqqSIDysK" int2:id="KhNPLzsP">
      <int2:state int2:value="Rejected" int2:type="AugLoop_Text_Critique"/>
    </int2:bookmark>
    <int2:bookmark int2:bookmarkName="_Int_JZsd8v4v" int2:invalidationBookmarkName="" int2:hashCode="yOw4qG1kFwJob6" int2:id="xoDB1y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DFE"/>
    <w:multiLevelType w:val="hybridMultilevel"/>
    <w:tmpl w:val="AE84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520B3"/>
    <w:multiLevelType w:val="hybridMultilevel"/>
    <w:tmpl w:val="35AE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A6B5B"/>
    <w:multiLevelType w:val="hybridMultilevel"/>
    <w:tmpl w:val="3E244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2D2B3C"/>
    <w:multiLevelType w:val="multilevel"/>
    <w:tmpl w:val="D1C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D071E"/>
    <w:multiLevelType w:val="multilevel"/>
    <w:tmpl w:val="6C2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D7046B"/>
    <w:multiLevelType w:val="hybridMultilevel"/>
    <w:tmpl w:val="13B13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9CE2CB2"/>
    <w:multiLevelType w:val="hybridMultilevel"/>
    <w:tmpl w:val="C308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62727">
    <w:abstractNumId w:val="5"/>
  </w:num>
  <w:num w:numId="2" w16cid:durableId="1250190730">
    <w:abstractNumId w:val="1"/>
  </w:num>
  <w:num w:numId="3" w16cid:durableId="645398649">
    <w:abstractNumId w:val="2"/>
  </w:num>
  <w:num w:numId="4" w16cid:durableId="1180317424">
    <w:abstractNumId w:val="6"/>
  </w:num>
  <w:num w:numId="5" w16cid:durableId="2105150299">
    <w:abstractNumId w:val="0"/>
  </w:num>
  <w:num w:numId="6" w16cid:durableId="1484276018">
    <w:abstractNumId w:val="3"/>
  </w:num>
  <w:num w:numId="7" w16cid:durableId="193812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4B"/>
    <w:rsid w:val="00044D7C"/>
    <w:rsid w:val="00054B7B"/>
    <w:rsid w:val="00056CF1"/>
    <w:rsid w:val="00090935"/>
    <w:rsid w:val="000B274B"/>
    <w:rsid w:val="000E127D"/>
    <w:rsid w:val="000E2A73"/>
    <w:rsid w:val="00147A0F"/>
    <w:rsid w:val="00190F39"/>
    <w:rsid w:val="002E169C"/>
    <w:rsid w:val="003E3334"/>
    <w:rsid w:val="00452E4D"/>
    <w:rsid w:val="004647E7"/>
    <w:rsid w:val="00471FE7"/>
    <w:rsid w:val="004A3B04"/>
    <w:rsid w:val="005464EB"/>
    <w:rsid w:val="00655316"/>
    <w:rsid w:val="00667B6F"/>
    <w:rsid w:val="0073655B"/>
    <w:rsid w:val="007460AC"/>
    <w:rsid w:val="007B2E37"/>
    <w:rsid w:val="007E111C"/>
    <w:rsid w:val="007E3E5E"/>
    <w:rsid w:val="00815301"/>
    <w:rsid w:val="008166FC"/>
    <w:rsid w:val="008D079C"/>
    <w:rsid w:val="008E2F90"/>
    <w:rsid w:val="009971DF"/>
    <w:rsid w:val="00A3526D"/>
    <w:rsid w:val="00A47B4C"/>
    <w:rsid w:val="00A735D6"/>
    <w:rsid w:val="00AD44DF"/>
    <w:rsid w:val="00B11B47"/>
    <w:rsid w:val="00BD2228"/>
    <w:rsid w:val="00C14796"/>
    <w:rsid w:val="00C64E1B"/>
    <w:rsid w:val="00C90529"/>
    <w:rsid w:val="00CE2F14"/>
    <w:rsid w:val="00DD570A"/>
    <w:rsid w:val="00DE4507"/>
    <w:rsid w:val="00EA5AB7"/>
    <w:rsid w:val="00EB71CB"/>
    <w:rsid w:val="00EC4879"/>
    <w:rsid w:val="00F46A87"/>
    <w:rsid w:val="00FC247B"/>
    <w:rsid w:val="0123A5DB"/>
    <w:rsid w:val="05FD61A9"/>
    <w:rsid w:val="20D9A471"/>
    <w:rsid w:val="2390E356"/>
    <w:rsid w:val="23C5D5F0"/>
    <w:rsid w:val="252BA57E"/>
    <w:rsid w:val="2647BE27"/>
    <w:rsid w:val="27F9CA9C"/>
    <w:rsid w:val="2B47DD3A"/>
    <w:rsid w:val="2D7C7445"/>
    <w:rsid w:val="33C45EE9"/>
    <w:rsid w:val="3E42FA63"/>
    <w:rsid w:val="4E3A238B"/>
    <w:rsid w:val="524306A6"/>
    <w:rsid w:val="543174A3"/>
    <w:rsid w:val="54720905"/>
    <w:rsid w:val="56E37A16"/>
    <w:rsid w:val="574E74AD"/>
    <w:rsid w:val="57BE45B4"/>
    <w:rsid w:val="57F640C5"/>
    <w:rsid w:val="5C7649CA"/>
    <w:rsid w:val="5E7810F9"/>
    <w:rsid w:val="63FE83B7"/>
    <w:rsid w:val="652EC500"/>
    <w:rsid w:val="68842D03"/>
    <w:rsid w:val="6EDA3ABE"/>
    <w:rsid w:val="720421A0"/>
    <w:rsid w:val="73E7FDDE"/>
    <w:rsid w:val="7C186B40"/>
    <w:rsid w:val="7E66B6E7"/>
    <w:rsid w:val="7FAF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9313D"/>
  <w15:docId w15:val="{57EE29B1-B91A-4C87-90F5-3F287CEB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74B"/>
    <w:pPr>
      <w:ind w:left="720"/>
      <w:contextualSpacing/>
    </w:pPr>
  </w:style>
  <w:style w:type="table" w:styleId="TableGrid">
    <w:name w:val="Table Grid"/>
    <w:basedOn w:val="TableNormal"/>
    <w:uiPriority w:val="59"/>
    <w:rsid w:val="00C6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64EB"/>
    <w:pPr>
      <w:spacing w:after="225" w:line="360" w:lineRule="atLeas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0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9539">
      <w:bodyDiv w:val="1"/>
      <w:marLeft w:val="0"/>
      <w:marRight w:val="0"/>
      <w:marTop w:val="0"/>
      <w:marBottom w:val="0"/>
      <w:divBdr>
        <w:top w:val="none" w:sz="0" w:space="0" w:color="auto"/>
        <w:left w:val="none" w:sz="0" w:space="0" w:color="auto"/>
        <w:bottom w:val="none" w:sz="0" w:space="0" w:color="auto"/>
        <w:right w:val="none" w:sz="0" w:space="0" w:color="auto"/>
      </w:divBdr>
    </w:div>
    <w:div w:id="912620076">
      <w:bodyDiv w:val="1"/>
      <w:marLeft w:val="0"/>
      <w:marRight w:val="0"/>
      <w:marTop w:val="0"/>
      <w:marBottom w:val="0"/>
      <w:divBdr>
        <w:top w:val="none" w:sz="0" w:space="0" w:color="auto"/>
        <w:left w:val="none" w:sz="0" w:space="0" w:color="auto"/>
        <w:bottom w:val="none" w:sz="0" w:space="0" w:color="auto"/>
        <w:right w:val="none" w:sz="0" w:space="0" w:color="auto"/>
      </w:divBdr>
    </w:div>
    <w:div w:id="1093551679">
      <w:bodyDiv w:val="1"/>
      <w:marLeft w:val="0"/>
      <w:marRight w:val="0"/>
      <w:marTop w:val="0"/>
      <w:marBottom w:val="0"/>
      <w:divBdr>
        <w:top w:val="none" w:sz="0" w:space="0" w:color="auto"/>
        <w:left w:val="none" w:sz="0" w:space="0" w:color="auto"/>
        <w:bottom w:val="none" w:sz="0" w:space="0" w:color="auto"/>
        <w:right w:val="none" w:sz="0" w:space="0" w:color="auto"/>
      </w:divBdr>
    </w:div>
    <w:div w:id="1601524722">
      <w:bodyDiv w:val="1"/>
      <w:marLeft w:val="0"/>
      <w:marRight w:val="0"/>
      <w:marTop w:val="0"/>
      <w:marBottom w:val="0"/>
      <w:divBdr>
        <w:top w:val="none" w:sz="0" w:space="0" w:color="auto"/>
        <w:left w:val="none" w:sz="0" w:space="0" w:color="auto"/>
        <w:bottom w:val="none" w:sz="0" w:space="0" w:color="auto"/>
        <w:right w:val="none" w:sz="0" w:space="0" w:color="auto"/>
      </w:divBdr>
    </w:div>
    <w:div w:id="1908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C02147B43D040ABF9F0F4D5D0352A" ma:contentTypeVersion="4" ma:contentTypeDescription="Create a new document." ma:contentTypeScope="" ma:versionID="41e70e675b42f105d4b2eb1733b81117">
  <xsd:schema xmlns:xsd="http://www.w3.org/2001/XMLSchema" xmlns:xs="http://www.w3.org/2001/XMLSchema" xmlns:p="http://schemas.microsoft.com/office/2006/metadata/properties" xmlns:ns2="d7c36d84-6a3c-4b72-8f19-104cafed6d25" targetNamespace="http://schemas.microsoft.com/office/2006/metadata/properties" ma:root="true" ma:fieldsID="69cadf457ad9b53c5f5af258c1f649f6" ns2:_="">
    <xsd:import namespace="d7c36d84-6a3c-4b72-8f19-104cafed6d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6d84-6a3c-4b72-8f19-104cafed6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AFAAB-D25B-408B-9EFC-C995281FB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D370B-574F-4A31-B8E7-FE2368CF3A37}">
  <ds:schemaRefs>
    <ds:schemaRef ds:uri="http://schemas.microsoft.com/sharepoint/v3/contenttype/forms"/>
  </ds:schemaRefs>
</ds:datastoreItem>
</file>

<file path=customXml/itemProps3.xml><?xml version="1.0" encoding="utf-8"?>
<ds:datastoreItem xmlns:ds="http://schemas.openxmlformats.org/officeDocument/2006/customXml" ds:itemID="{83BCD07F-50DC-469F-ADE5-53FBBF2C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6d84-6a3c-4b72-8f19-104cafed6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Company>Southend Borough Council</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Cole</dc:creator>
  <cp:lastModifiedBy>Pallett, Fiona</cp:lastModifiedBy>
  <cp:revision>2</cp:revision>
  <dcterms:created xsi:type="dcterms:W3CDTF">2025-02-10T09:54:00Z</dcterms:created>
  <dcterms:modified xsi:type="dcterms:W3CDTF">2025-02-10T09:54:00Z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2023-03-22T13:18:37Z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70d47fe2-7bb8-423c-8cfe-18cda720f67f</vt:lpwstr>
  </property>
  <property fmtid="{D5CDD505-2E9C-101B-9397-08002B2CF9AE}" pid="8" name="MSIP_Label_8f716d1d-13e1-4569-9dd0-bef6621415c1_ContentBits">
    <vt:lpwstr>0</vt:lpwstr>
  </property>
  <property fmtid="{D5CDD505-2E9C-101B-9397-08002B2CF9AE}" pid="9" name="ContentTypeId">
    <vt:lpwstr>0x010100DB0C02147B43D040ABF9F0F4D5D0352A</vt:lpwstr>
  </property>
  <property fmtid="{D5CDD505-2E9C-101B-9397-08002B2CF9AE}" pid="10" name="Order">
    <vt:r8>844600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ies>
</file>